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1CA18" w14:textId="77777777" w:rsidR="002B3F2D" w:rsidRPr="00D84226" w:rsidRDefault="005233E7">
      <w:pPr>
        <w:rPr>
          <w:sz w:val="16"/>
        </w:rPr>
      </w:pPr>
      <w:r>
        <w:rPr>
          <w:noProof/>
          <w:sz w:val="16"/>
          <w:lang w:eastAsia="en-GB"/>
        </w:rPr>
        <w:drawing>
          <wp:anchor distT="0" distB="0" distL="114300" distR="114300" simplePos="0" relativeHeight="251658239" behindDoc="1" locked="0" layoutInCell="1" allowOverlap="1" wp14:anchorId="2471CA3F" wp14:editId="25CDD764">
            <wp:simplePos x="0" y="0"/>
            <wp:positionH relativeFrom="column">
              <wp:posOffset>-565150</wp:posOffset>
            </wp:positionH>
            <wp:positionV relativeFrom="paragraph">
              <wp:posOffset>-648309</wp:posOffset>
            </wp:positionV>
            <wp:extent cx="7632000" cy="10736086"/>
            <wp:effectExtent l="0" t="0" r="7620" b="8255"/>
            <wp:wrapNone/>
            <wp:docPr id="2" name="Picture 2" descr="\\PC40-OPERATIONS\SageData\Shared Documents\50000   Marketing\55000   Branding &amp; Corporate Image\55200 - Corporate Identity\55202 - WFP Letterhead S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40-OPERATIONS\SageData\Shared Documents\50000   Marketing\55000   Branding &amp; Corporate Image\55200 - Corporate Identity\55202 - WFP Letterhead Sal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000" cy="10736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1CA19" w14:textId="77777777" w:rsidR="00042835" w:rsidRPr="00D84226" w:rsidRDefault="00042835" w:rsidP="00042835">
      <w:pPr>
        <w:spacing w:after="120"/>
        <w:rPr>
          <w:color w:val="404040" w:themeColor="text1" w:themeTint="BF"/>
          <w:sz w:val="20"/>
          <w:szCs w:val="28"/>
        </w:rPr>
      </w:pPr>
    </w:p>
    <w:p w14:paraId="2471CA1A" w14:textId="77777777" w:rsidR="00D84226" w:rsidRPr="00D84226" w:rsidRDefault="00D84226" w:rsidP="00042835">
      <w:pPr>
        <w:spacing w:after="120"/>
        <w:rPr>
          <w:color w:val="404040" w:themeColor="text1" w:themeTint="BF"/>
          <w:sz w:val="20"/>
          <w:szCs w:val="28"/>
        </w:rPr>
      </w:pPr>
    </w:p>
    <w:p w14:paraId="2471CA1B" w14:textId="29918EFD" w:rsidR="00042835" w:rsidRPr="00FA4BEE" w:rsidRDefault="008F3F7D" w:rsidP="00042835">
      <w:pPr>
        <w:spacing w:after="120"/>
        <w:rPr>
          <w:rFonts w:ascii="Century Gothic" w:hAnsi="Century Gothic"/>
          <w:b/>
          <w:color w:val="00A8D6"/>
          <w:sz w:val="28"/>
          <w:szCs w:val="28"/>
        </w:rPr>
      </w:pPr>
      <w:r>
        <w:rPr>
          <w:rFonts w:ascii="Century Gothic" w:hAnsi="Century Gothic"/>
          <w:b/>
          <w:color w:val="00A8D6"/>
          <w:sz w:val="28"/>
          <w:szCs w:val="28"/>
        </w:rPr>
        <w:t>Conditions of Sale</w:t>
      </w:r>
    </w:p>
    <w:p w14:paraId="2471CA1C" w14:textId="77777777" w:rsidR="00042835" w:rsidRPr="00F97705" w:rsidRDefault="00042835" w:rsidP="00042835">
      <w:pPr>
        <w:spacing w:after="120"/>
        <w:rPr>
          <w:b/>
          <w:color w:val="5F497A" w:themeColor="accent4" w:themeShade="BF"/>
          <w:sz w:val="28"/>
          <w:szCs w:val="28"/>
        </w:rPr>
      </w:pPr>
    </w:p>
    <w:p w14:paraId="2471CA1D" w14:textId="0CC5794D" w:rsidR="00F97705" w:rsidRPr="00A86842" w:rsidRDefault="00EA13BD">
      <w:pPr>
        <w:rPr>
          <w:b/>
          <w:color w:val="202850"/>
          <w:szCs w:val="28"/>
        </w:rPr>
      </w:pPr>
      <w:r>
        <w:rPr>
          <w:b/>
          <w:color w:val="202850"/>
          <w:szCs w:val="28"/>
        </w:rPr>
        <w:t>700</w:t>
      </w:r>
      <w:r w:rsidR="008F3F7D">
        <w:rPr>
          <w:b/>
          <w:color w:val="202850"/>
          <w:szCs w:val="28"/>
        </w:rPr>
        <w:t>4</w:t>
      </w:r>
      <w:r>
        <w:rPr>
          <w:b/>
          <w:color w:val="202850"/>
          <w:szCs w:val="28"/>
        </w:rPr>
        <w:t>0</w:t>
      </w:r>
      <w:r w:rsidR="00FA4BEE" w:rsidRPr="00A86842">
        <w:rPr>
          <w:b/>
          <w:color w:val="202850"/>
          <w:szCs w:val="28"/>
        </w:rPr>
        <w:tab/>
      </w:r>
    </w:p>
    <w:p w14:paraId="2471CA1E" w14:textId="152A9BDC" w:rsidR="008B3A81" w:rsidRDefault="00C746D1">
      <w:pPr>
        <w:rPr>
          <w:b/>
          <w:color w:val="202850"/>
          <w:szCs w:val="28"/>
        </w:rPr>
      </w:pPr>
      <w:r>
        <w:rPr>
          <w:b/>
          <w:color w:val="202850"/>
          <w:szCs w:val="28"/>
        </w:rPr>
        <w:t xml:space="preserve">Our </w:t>
      </w:r>
      <w:r w:rsidR="00885469">
        <w:rPr>
          <w:b/>
          <w:color w:val="202850"/>
          <w:szCs w:val="28"/>
        </w:rPr>
        <w:t>conditions of sale</w:t>
      </w:r>
      <w:r>
        <w:rPr>
          <w:b/>
          <w:color w:val="202850"/>
          <w:szCs w:val="28"/>
        </w:rPr>
        <w:t xml:space="preserve"> </w:t>
      </w:r>
      <w:r w:rsidR="00DA2C71">
        <w:rPr>
          <w:b/>
          <w:color w:val="202850"/>
          <w:szCs w:val="28"/>
        </w:rPr>
        <w:t xml:space="preserve">clearly </w:t>
      </w:r>
      <w:r>
        <w:rPr>
          <w:b/>
          <w:color w:val="202850"/>
          <w:szCs w:val="28"/>
        </w:rPr>
        <w:t>outline</w:t>
      </w:r>
      <w:r w:rsidR="00EA13BD">
        <w:rPr>
          <w:b/>
          <w:color w:val="202850"/>
          <w:szCs w:val="28"/>
        </w:rPr>
        <w:t xml:space="preserve"> </w:t>
      </w:r>
      <w:r w:rsidR="00A91B17">
        <w:rPr>
          <w:b/>
          <w:color w:val="202850"/>
          <w:szCs w:val="28"/>
        </w:rPr>
        <w:t>to all purchasers</w:t>
      </w:r>
      <w:r w:rsidR="00A91B17">
        <w:rPr>
          <w:b/>
          <w:color w:val="202850"/>
          <w:szCs w:val="28"/>
        </w:rPr>
        <w:t xml:space="preserve"> </w:t>
      </w:r>
      <w:r w:rsidR="00C67274">
        <w:rPr>
          <w:b/>
          <w:color w:val="202850"/>
          <w:szCs w:val="28"/>
        </w:rPr>
        <w:t>the key issues</w:t>
      </w:r>
      <w:r w:rsidR="00C14C26">
        <w:rPr>
          <w:b/>
          <w:color w:val="202850"/>
          <w:szCs w:val="28"/>
        </w:rPr>
        <w:t>,</w:t>
      </w:r>
      <w:r w:rsidR="00C67274">
        <w:rPr>
          <w:b/>
          <w:color w:val="202850"/>
          <w:szCs w:val="28"/>
        </w:rPr>
        <w:t xml:space="preserve"> </w:t>
      </w:r>
      <w:proofErr w:type="gramStart"/>
      <w:r w:rsidR="00604660">
        <w:rPr>
          <w:b/>
          <w:color w:val="202850"/>
          <w:szCs w:val="28"/>
        </w:rPr>
        <w:t>rules</w:t>
      </w:r>
      <w:proofErr w:type="gramEnd"/>
      <w:r w:rsidR="00604660">
        <w:rPr>
          <w:b/>
          <w:color w:val="202850"/>
          <w:szCs w:val="28"/>
        </w:rPr>
        <w:t xml:space="preserve"> </w:t>
      </w:r>
      <w:r w:rsidR="00C67274">
        <w:rPr>
          <w:b/>
          <w:color w:val="202850"/>
          <w:szCs w:val="28"/>
        </w:rPr>
        <w:t>and expectations</w:t>
      </w:r>
      <w:r w:rsidR="00A91B17">
        <w:rPr>
          <w:b/>
          <w:color w:val="202850"/>
          <w:szCs w:val="28"/>
        </w:rPr>
        <w:t xml:space="preserve"> </w:t>
      </w:r>
      <w:r w:rsidR="00B57EF6">
        <w:rPr>
          <w:b/>
          <w:color w:val="202850"/>
          <w:szCs w:val="28"/>
        </w:rPr>
        <w:t>of trading</w:t>
      </w:r>
      <w:r w:rsidR="00C14C26">
        <w:rPr>
          <w:b/>
          <w:color w:val="202850"/>
          <w:szCs w:val="28"/>
        </w:rPr>
        <w:t>.</w:t>
      </w:r>
      <w:r w:rsidR="0056609D">
        <w:rPr>
          <w:b/>
          <w:color w:val="202850"/>
          <w:szCs w:val="28"/>
        </w:rPr>
        <w:t xml:space="preserve"> </w:t>
      </w:r>
    </w:p>
    <w:p w14:paraId="0AE67C1C" w14:textId="49C39CC1" w:rsidR="00994ECE" w:rsidRPr="00647C3E" w:rsidRDefault="00042835" w:rsidP="00994ECE">
      <w:r w:rsidRPr="00D84226">
        <w:rPr>
          <w:noProof/>
          <w:color w:val="202850"/>
          <w:sz w:val="28"/>
          <w:szCs w:val="28"/>
          <w:lang w:eastAsia="en-GB"/>
        </w:rPr>
        <mc:AlternateContent>
          <mc:Choice Requires="wps">
            <w:drawing>
              <wp:anchor distT="0" distB="0" distL="114300" distR="114300" simplePos="0" relativeHeight="251659264" behindDoc="0" locked="0" layoutInCell="1" allowOverlap="1" wp14:anchorId="2471CA41" wp14:editId="2471CA42">
                <wp:simplePos x="0" y="0"/>
                <wp:positionH relativeFrom="column">
                  <wp:posOffset>11430</wp:posOffset>
                </wp:positionH>
                <wp:positionV relativeFrom="paragraph">
                  <wp:posOffset>85725</wp:posOffset>
                </wp:positionV>
                <wp:extent cx="648000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12700">
                          <a:solidFill>
                            <a:srgbClr val="00A8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1FC3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6.75pt" to="511.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Kc2gEAAA4EAAAOAAAAZHJzL2Uyb0RvYy54bWysU9GuEyEQfTfxHwjvdreNqc2m2xvT5vpi&#10;tPHqB1AWdkmAIQN22793YNu9N2pMNO4Dy8DMmXMOsH24OMvOCqMB3/LlouZMeQmd8X3Lv319fLPh&#10;LCbhO2HBq5ZfVeQPu9evtmNo1AoGsJ1CRiA+NmNo+ZBSaKoqykE5ERcQlKdNDehEohD7qkMxErqz&#10;1aqu19UI2AUEqWKk1cO0yXcFX2sl02eto0rMtpy4pTJiGU95rHZb0fQowmDkjYb4BxZOGE9NZ6iD&#10;SIJ9R/MLlDMSIYJOCwmuAq2NVEUDqVnWP6l5GkRQRQuZE8NsU/x/sPLT+YjMdHR2nHnh6IieEgrT&#10;D4ntwXsyEJAts09jiA2l7/0Rb1EMR8yiLxpd/pMcdineXmdv1SUxSYvrt5uaPs7kfa96LgwY0wcF&#10;juVJy63xWbZoxPljTNSMUu8pedl6NhLh1TvCy3EEa7pHY20JsD/tLbKzyEdev98c1pk9QbxIo8h6&#10;WsyaJhVllq5WTQ2+KE2uEO/l1CHfRzXDCimVT8WVgkTZuUwThbnwRu1Phbf8XKrKXf2b4rmidAaf&#10;5mJnPODvaKfLnbKe8u8OTLqzBSforuV8izV06YpztweSb/XLuJQ/P+PdDwAAAP//AwBQSwMEFAAG&#10;AAgAAAAhAJAGjrneAAAACAEAAA8AAABkcnMvZG93bnJldi54bWxMj0FLw0AQhe+C/2GZgje7aYpa&#10;YjZFRCuF9mC0SG7b7JiEZmdDdtvEf++UHvQ0vHnDm++ly9G24oS9bxwpmE0jEEilMw1VCj4/Xm8X&#10;IHzQZHTrCBX8oIdldn2V6sS4gd7xlIdKcAj5RCuoQ+gSKX1Zo9V+6jok9r5db3Vg2VfS9HrgcNvK&#10;OIrupdUN8Ydad/hcY3nIj1ZBTsP2Zf3W7fLderX5OjwUq0VRKHUzGZ8eQQQcw98xnPEZHTJm2rsj&#10;GS9a1gweeMzvQJztKI7nIPaXjcxS+b9A9gsAAP//AwBQSwECLQAUAAYACAAAACEAtoM4kv4AAADh&#10;AQAAEwAAAAAAAAAAAAAAAAAAAAAAW0NvbnRlbnRfVHlwZXNdLnhtbFBLAQItABQABgAIAAAAIQA4&#10;/SH/1gAAAJQBAAALAAAAAAAAAAAAAAAAAC8BAABfcmVscy8ucmVsc1BLAQItABQABgAIAAAAIQAi&#10;cOKc2gEAAA4EAAAOAAAAAAAAAAAAAAAAAC4CAABkcnMvZTJvRG9jLnhtbFBLAQItABQABgAIAAAA&#10;IQCQBo653gAAAAgBAAAPAAAAAAAAAAAAAAAAADQEAABkcnMvZG93bnJldi54bWxQSwUGAAAAAAQA&#10;BADzAAAAPwUAAAAA&#10;" strokecolor="#00a8d6" strokeweight="1pt"/>
            </w:pict>
          </mc:Fallback>
        </mc:AlternateContent>
      </w:r>
    </w:p>
    <w:p w14:paraId="4733E91B"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These Terms and Conditions supersede any other terms previously published.</w:t>
      </w:r>
    </w:p>
    <w:p w14:paraId="2D828DB9"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 xml:space="preserve">WFP is herein referred to as ‘the Company’. </w:t>
      </w:r>
    </w:p>
    <w:p w14:paraId="0483AEAE"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 xml:space="preserve">All contracts </w:t>
      </w:r>
      <w:proofErr w:type="gramStart"/>
      <w:r w:rsidRPr="00CA29EA">
        <w:rPr>
          <w:rStyle w:val="A11"/>
          <w:rFonts w:asciiTheme="minorHAnsi" w:hAnsiTheme="minorHAnsi" w:cstheme="minorHAnsi"/>
          <w:color w:val="002060"/>
          <w:sz w:val="18"/>
          <w:szCs w:val="18"/>
        </w:rPr>
        <w:t>entered into</w:t>
      </w:r>
      <w:proofErr w:type="gramEnd"/>
      <w:r w:rsidRPr="00CA29EA">
        <w:rPr>
          <w:rStyle w:val="A11"/>
          <w:rFonts w:asciiTheme="minorHAnsi" w:hAnsiTheme="minorHAnsi" w:cstheme="minorHAnsi"/>
          <w:color w:val="002060"/>
          <w:sz w:val="18"/>
          <w:szCs w:val="18"/>
        </w:rPr>
        <w:t xml:space="preserve"> between the Company and any person, firm or company (hereinafter referred to as ‘the Purchaser’) buying goods from the Company shall be subject to the following Terms and Conditions. By ordering from the Company, the Purchaser shall be deemed to accept and agree to the said Terms and Conditions.</w:t>
      </w:r>
    </w:p>
    <w:p w14:paraId="4AD0ECBA" w14:textId="77777777" w:rsidR="00994ECE" w:rsidRDefault="00994ECE" w:rsidP="00C14C26">
      <w:pPr>
        <w:pStyle w:val="Pa11"/>
        <w:numPr>
          <w:ilvl w:val="0"/>
          <w:numId w:val="2"/>
        </w:numPr>
        <w:spacing w:after="60" w:line="240" w:lineRule="auto"/>
        <w:ind w:left="425" w:hanging="440"/>
        <w:jc w:val="both"/>
        <w:rPr>
          <w:rStyle w:val="A11"/>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All prices given are exclusive of Value Added Tax. The Company reserves the right to change prices or products without notice, due to causes beyond the Company’s control.</w:t>
      </w:r>
    </w:p>
    <w:p w14:paraId="1532C85A" w14:textId="21F72B70" w:rsidR="00994ECE" w:rsidRPr="00C14C26" w:rsidRDefault="00994ECE" w:rsidP="00066E81">
      <w:pPr>
        <w:pStyle w:val="Pa11"/>
        <w:numPr>
          <w:ilvl w:val="0"/>
          <w:numId w:val="2"/>
        </w:numPr>
        <w:spacing w:after="60" w:line="240" w:lineRule="auto"/>
        <w:ind w:left="425" w:hanging="440"/>
        <w:jc w:val="both"/>
        <w:rPr>
          <w:rFonts w:cstheme="minorHAnsi"/>
          <w:color w:val="002060"/>
          <w:sz w:val="18"/>
          <w:szCs w:val="18"/>
        </w:rPr>
      </w:pPr>
      <w:r w:rsidRPr="00C14C26">
        <w:rPr>
          <w:rFonts w:cstheme="minorHAnsi"/>
          <w:color w:val="002060"/>
          <w:sz w:val="18"/>
          <w:szCs w:val="18"/>
        </w:rPr>
        <w:t>All orders over £400 net for standard delivery are carriage paid unless otherwise expressly agreed.</w:t>
      </w:r>
      <w:r w:rsidR="00C14C26" w:rsidRPr="00C14C26">
        <w:rPr>
          <w:rFonts w:cstheme="minorHAnsi"/>
          <w:color w:val="002060"/>
          <w:sz w:val="18"/>
          <w:szCs w:val="18"/>
        </w:rPr>
        <w:t xml:space="preserve"> </w:t>
      </w:r>
      <w:r w:rsidRPr="00C14C26">
        <w:rPr>
          <w:rFonts w:cstheme="minorHAnsi"/>
          <w:color w:val="002060"/>
          <w:sz w:val="18"/>
          <w:szCs w:val="18"/>
        </w:rPr>
        <w:t>Orders under £400 are subject to a carriage charge of £8.95 unless expressly agreed in writing prior to acknowledgement of order by the Company.</w:t>
      </w:r>
    </w:p>
    <w:p w14:paraId="583CEFD9"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Payment is strictly Nett for Purchasers who have an accredited account; payment is due by the 28th day following invoice date. Accounts that become overdue shall result in suspension of supplies and any lawful means taken to recover the debt or the goods supplied, this shall also include any additional charges incurred in recovering the money through a debt recovery company. Title of Goods supplied by the Company remain the property of the Company until all invoices are paid in full and the Company may exercise the right to charge interest at 2% per month over base rate on overdue accounts. Notwithstanding the foregoing, the goods are at the entire risk of the Purchaser from the point at which delivery is made.</w:t>
      </w:r>
    </w:p>
    <w:p w14:paraId="34CA38CA"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Goods are supplied by the Company in accordance with the Purchaser’s instructions but returned by the Purchaser for whatever reason shall be credited at the invoiced amount less 10% handling charge provided they are the Company’s stock item’s, are in reasonable condition and are returned within 14 days of the date of supply. Faulty goods shall be credited or replaced in full to the value of the returned goods provided they are returned within 14 days of supply. The Company cannot be held liable for any loss or damage resulting directly or otherwise from the use of the goods supplied</w:t>
      </w:r>
    </w:p>
    <w:p w14:paraId="4CF178DF"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 xml:space="preserve">The Company will endeavour to supply goods within agreed delivery times, insofar as circumstances within the Company’s control permit. The Company shall not be held liable whatsoever for consequential loss or damage resulting from late or </w:t>
      </w:r>
      <w:proofErr w:type="spellStart"/>
      <w:r w:rsidRPr="00CA29EA">
        <w:rPr>
          <w:rStyle w:val="A11"/>
          <w:rFonts w:asciiTheme="minorHAnsi" w:hAnsiTheme="minorHAnsi" w:cstheme="minorHAnsi"/>
          <w:color w:val="002060"/>
          <w:sz w:val="18"/>
          <w:szCs w:val="18"/>
        </w:rPr>
        <w:t>non delivery</w:t>
      </w:r>
      <w:proofErr w:type="spellEnd"/>
      <w:r w:rsidRPr="00CA29EA">
        <w:rPr>
          <w:rStyle w:val="A11"/>
          <w:rFonts w:asciiTheme="minorHAnsi" w:hAnsiTheme="minorHAnsi" w:cstheme="minorHAnsi"/>
          <w:color w:val="002060"/>
          <w:sz w:val="18"/>
          <w:szCs w:val="18"/>
        </w:rPr>
        <w:t>.</w:t>
      </w:r>
    </w:p>
    <w:p w14:paraId="66B6D488"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Claims regarding short delivery or damage must be notified to the Company within 3 days of delivery</w:t>
      </w:r>
      <w:r>
        <w:rPr>
          <w:rStyle w:val="A11"/>
          <w:rFonts w:asciiTheme="minorHAnsi" w:hAnsiTheme="minorHAnsi" w:cstheme="minorHAnsi"/>
          <w:color w:val="002060"/>
          <w:sz w:val="18"/>
          <w:szCs w:val="18"/>
        </w:rPr>
        <w:t xml:space="preserve"> in writing</w:t>
      </w:r>
      <w:r w:rsidRPr="00CA29EA">
        <w:rPr>
          <w:rStyle w:val="A11"/>
          <w:rFonts w:asciiTheme="minorHAnsi" w:hAnsiTheme="minorHAnsi" w:cstheme="minorHAnsi"/>
          <w:color w:val="002060"/>
          <w:sz w:val="18"/>
          <w:szCs w:val="18"/>
        </w:rPr>
        <w:t xml:space="preserve">. A signature given for </w:t>
      </w:r>
      <w:proofErr w:type="gramStart"/>
      <w:r w:rsidRPr="00CA29EA">
        <w:rPr>
          <w:rStyle w:val="A11"/>
          <w:rFonts w:asciiTheme="minorHAnsi" w:hAnsiTheme="minorHAnsi" w:cstheme="minorHAnsi"/>
          <w:color w:val="002060"/>
          <w:sz w:val="18"/>
          <w:szCs w:val="18"/>
        </w:rPr>
        <w:t>a number of</w:t>
      </w:r>
      <w:proofErr w:type="gramEnd"/>
      <w:r w:rsidRPr="00CA29EA">
        <w:rPr>
          <w:rStyle w:val="A11"/>
          <w:rFonts w:asciiTheme="minorHAnsi" w:hAnsiTheme="minorHAnsi" w:cstheme="minorHAnsi"/>
          <w:color w:val="002060"/>
          <w:sz w:val="18"/>
          <w:szCs w:val="18"/>
        </w:rPr>
        <w:t xml:space="preserve"> parcels received shall be considered as binding.</w:t>
      </w:r>
    </w:p>
    <w:p w14:paraId="0F04573A"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 xml:space="preserve">Dimensions and quantities stated are subject to standard trade tolerances. The Purchaser is responsible to ensure goods are suitable for the application for which they are required. </w:t>
      </w:r>
    </w:p>
    <w:p w14:paraId="3492FC2D"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Products made or printed to the Purchaser’s specification are subject to standard trade tolerances of 10% over or under. Proofs for printed work to be checked by the Purchaser and when signed by the Purchaser will be deemed to be correct and will be considered binding.</w:t>
      </w:r>
    </w:p>
    <w:p w14:paraId="05E1155B"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These Terms and Conditions and all contracts to which they apply shall in all respects be governed and construed in accordance with English Law and shall be subject to the jurisdiction of the English Courts.</w:t>
      </w:r>
    </w:p>
    <w:p w14:paraId="26FCF0B8" w14:textId="77777777" w:rsidR="00994ECE" w:rsidRPr="00CA29EA" w:rsidRDefault="00994ECE" w:rsidP="00C14C26">
      <w:pPr>
        <w:pStyle w:val="Pa1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As part of our assessment of your company we may search a credit reference agency for information relating to your company and in the case of a non-limited business also relating to the proprietors.</w:t>
      </w:r>
    </w:p>
    <w:p w14:paraId="50AB8036" w14:textId="77777777" w:rsidR="00994ECE" w:rsidRPr="00CA29EA" w:rsidRDefault="00994ECE" w:rsidP="00C14C26">
      <w:pPr>
        <w:pStyle w:val="Pa21"/>
        <w:numPr>
          <w:ilvl w:val="0"/>
          <w:numId w:val="2"/>
        </w:numPr>
        <w:spacing w:after="60" w:line="240" w:lineRule="auto"/>
        <w:ind w:left="425" w:hanging="440"/>
        <w:jc w:val="both"/>
        <w:rPr>
          <w:rFonts w:asciiTheme="minorHAnsi" w:hAnsiTheme="minorHAnsi" w:cstheme="minorHAnsi"/>
          <w:color w:val="002060"/>
          <w:sz w:val="18"/>
          <w:szCs w:val="18"/>
        </w:rPr>
      </w:pPr>
      <w:r w:rsidRPr="00CA29EA">
        <w:rPr>
          <w:rStyle w:val="A11"/>
          <w:rFonts w:asciiTheme="minorHAnsi" w:hAnsiTheme="minorHAnsi" w:cstheme="minorHAnsi"/>
          <w:b/>
          <w:bCs/>
          <w:color w:val="002060"/>
          <w:sz w:val="18"/>
          <w:szCs w:val="18"/>
        </w:rPr>
        <w:t>Preferred method of payment is by BACS</w:t>
      </w:r>
      <w:r w:rsidRPr="00CA29EA">
        <w:rPr>
          <w:rStyle w:val="A11"/>
          <w:rFonts w:asciiTheme="minorHAnsi" w:hAnsiTheme="minorHAnsi" w:cstheme="minorHAnsi"/>
          <w:color w:val="002060"/>
          <w:sz w:val="18"/>
          <w:szCs w:val="18"/>
        </w:rPr>
        <w:t xml:space="preserve">. Bank details are as follows. </w:t>
      </w:r>
    </w:p>
    <w:p w14:paraId="5E626863" w14:textId="77777777" w:rsidR="00994ECE" w:rsidRDefault="00994ECE" w:rsidP="00C14C26">
      <w:pPr>
        <w:pStyle w:val="Pa21"/>
        <w:spacing w:after="60" w:line="240" w:lineRule="auto"/>
        <w:ind w:left="425"/>
        <w:jc w:val="both"/>
        <w:rPr>
          <w:rStyle w:val="A11"/>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Bank: The Royal Bank of Scotland</w:t>
      </w:r>
      <w:r>
        <w:rPr>
          <w:rStyle w:val="A11"/>
          <w:rFonts w:asciiTheme="minorHAnsi" w:hAnsiTheme="minorHAnsi" w:cstheme="minorHAnsi"/>
          <w:color w:val="002060"/>
          <w:sz w:val="18"/>
          <w:szCs w:val="18"/>
        </w:rPr>
        <w:t>.</w:t>
      </w:r>
      <w:r w:rsidRPr="00CA29EA">
        <w:rPr>
          <w:rStyle w:val="A11"/>
          <w:rFonts w:asciiTheme="minorHAnsi" w:hAnsiTheme="minorHAnsi" w:cstheme="minorHAnsi"/>
          <w:color w:val="002060"/>
          <w:sz w:val="18"/>
          <w:szCs w:val="18"/>
        </w:rPr>
        <w:t xml:space="preserve"> </w:t>
      </w:r>
      <w:r>
        <w:rPr>
          <w:rStyle w:val="A11"/>
          <w:rFonts w:asciiTheme="minorHAnsi" w:hAnsiTheme="minorHAnsi" w:cstheme="minorHAnsi"/>
          <w:color w:val="002060"/>
          <w:sz w:val="18"/>
          <w:szCs w:val="18"/>
        </w:rPr>
        <w:t>D</w:t>
      </w:r>
      <w:r w:rsidRPr="00647C3E">
        <w:rPr>
          <w:rStyle w:val="A11"/>
          <w:rFonts w:asciiTheme="minorHAnsi" w:hAnsiTheme="minorHAnsi" w:cstheme="minorHAnsi"/>
          <w:color w:val="002060"/>
          <w:sz w:val="18"/>
          <w:szCs w:val="18"/>
        </w:rPr>
        <w:t>rummond House (CU) Branch</w:t>
      </w:r>
      <w:r>
        <w:rPr>
          <w:rStyle w:val="A11"/>
          <w:rFonts w:asciiTheme="minorHAnsi" w:hAnsiTheme="minorHAnsi" w:cstheme="minorHAnsi"/>
          <w:color w:val="002060"/>
          <w:sz w:val="18"/>
          <w:szCs w:val="18"/>
        </w:rPr>
        <w:t xml:space="preserve">, </w:t>
      </w:r>
      <w:r w:rsidRPr="00647C3E">
        <w:rPr>
          <w:rStyle w:val="A11"/>
          <w:rFonts w:asciiTheme="minorHAnsi" w:hAnsiTheme="minorHAnsi" w:cstheme="minorHAnsi"/>
          <w:color w:val="002060"/>
          <w:sz w:val="18"/>
          <w:szCs w:val="18"/>
        </w:rPr>
        <w:t xml:space="preserve">1 </w:t>
      </w:r>
      <w:proofErr w:type="spellStart"/>
      <w:r w:rsidRPr="00647C3E">
        <w:rPr>
          <w:rStyle w:val="A11"/>
          <w:rFonts w:asciiTheme="minorHAnsi" w:hAnsiTheme="minorHAnsi" w:cstheme="minorHAnsi"/>
          <w:color w:val="002060"/>
          <w:sz w:val="18"/>
          <w:szCs w:val="18"/>
        </w:rPr>
        <w:t>Redheughs</w:t>
      </w:r>
      <w:proofErr w:type="spellEnd"/>
      <w:r w:rsidRPr="00647C3E">
        <w:rPr>
          <w:rStyle w:val="A11"/>
          <w:rFonts w:asciiTheme="minorHAnsi" w:hAnsiTheme="minorHAnsi" w:cstheme="minorHAnsi"/>
          <w:color w:val="002060"/>
          <w:sz w:val="18"/>
          <w:szCs w:val="18"/>
        </w:rPr>
        <w:t xml:space="preserve"> </w:t>
      </w:r>
      <w:proofErr w:type="gramStart"/>
      <w:r w:rsidRPr="00647C3E">
        <w:rPr>
          <w:rStyle w:val="A11"/>
          <w:rFonts w:asciiTheme="minorHAnsi" w:hAnsiTheme="minorHAnsi" w:cstheme="minorHAnsi"/>
          <w:color w:val="002060"/>
          <w:sz w:val="18"/>
          <w:szCs w:val="18"/>
        </w:rPr>
        <w:t>Avenue</w:t>
      </w:r>
      <w:r>
        <w:rPr>
          <w:rStyle w:val="A11"/>
          <w:rFonts w:asciiTheme="minorHAnsi" w:hAnsiTheme="minorHAnsi" w:cstheme="minorHAnsi"/>
          <w:color w:val="002060"/>
          <w:sz w:val="18"/>
          <w:szCs w:val="18"/>
        </w:rPr>
        <w:t xml:space="preserve">  Edinburgh</w:t>
      </w:r>
      <w:proofErr w:type="gramEnd"/>
      <w:r>
        <w:rPr>
          <w:rStyle w:val="A11"/>
          <w:rFonts w:asciiTheme="minorHAnsi" w:hAnsiTheme="minorHAnsi" w:cstheme="minorHAnsi"/>
          <w:color w:val="002060"/>
          <w:sz w:val="18"/>
          <w:szCs w:val="18"/>
        </w:rPr>
        <w:t xml:space="preserve">  EH12 9JN</w:t>
      </w:r>
    </w:p>
    <w:p w14:paraId="004B96D4" w14:textId="77777777" w:rsidR="00994ECE" w:rsidRPr="00CA29EA" w:rsidRDefault="00994ECE" w:rsidP="00C14C26">
      <w:pPr>
        <w:pStyle w:val="Pa21"/>
        <w:spacing w:after="60" w:line="240" w:lineRule="auto"/>
        <w:ind w:left="425"/>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 xml:space="preserve">Sort code: 16-17-32 Account No: 10030133 Account Name: R J Hicks &amp; D E Hicks T/A WFP </w:t>
      </w:r>
    </w:p>
    <w:p w14:paraId="6EE5F5F7" w14:textId="77777777" w:rsidR="00994ECE" w:rsidRPr="00CA29EA" w:rsidRDefault="00994ECE" w:rsidP="00C14C26">
      <w:pPr>
        <w:pStyle w:val="Pa11"/>
        <w:spacing w:after="60" w:line="240" w:lineRule="auto"/>
        <w:ind w:left="425"/>
        <w:jc w:val="both"/>
        <w:rPr>
          <w:rFonts w:asciiTheme="minorHAnsi" w:hAnsiTheme="minorHAnsi" w:cstheme="minorHAnsi"/>
          <w:color w:val="002060"/>
          <w:sz w:val="18"/>
          <w:szCs w:val="18"/>
        </w:rPr>
      </w:pPr>
      <w:r w:rsidRPr="00CA29EA">
        <w:rPr>
          <w:rStyle w:val="A11"/>
          <w:rFonts w:asciiTheme="minorHAnsi" w:hAnsiTheme="minorHAnsi" w:cstheme="minorHAnsi"/>
          <w:color w:val="002060"/>
          <w:sz w:val="18"/>
          <w:szCs w:val="18"/>
        </w:rPr>
        <w:t xml:space="preserve">IBAN: GB07 RBOS 1617 3210 0301 33 BIC: RBOS GB2L </w:t>
      </w:r>
    </w:p>
    <w:p w14:paraId="57A4028F" w14:textId="5886AEE2" w:rsidR="00D57E93" w:rsidRPr="009D1A33" w:rsidRDefault="00994ECE" w:rsidP="00C14C26">
      <w:pPr>
        <w:spacing w:after="60" w:line="240" w:lineRule="auto"/>
        <w:ind w:left="425"/>
        <w:jc w:val="both"/>
        <w:rPr>
          <w:bCs/>
          <w:color w:val="202850"/>
          <w:sz w:val="20"/>
          <w:szCs w:val="20"/>
        </w:rPr>
      </w:pPr>
      <w:r w:rsidRPr="00CA29EA">
        <w:rPr>
          <w:rStyle w:val="A11"/>
          <w:rFonts w:cstheme="minorHAnsi"/>
          <w:color w:val="002060"/>
          <w:sz w:val="18"/>
          <w:szCs w:val="18"/>
        </w:rPr>
        <w:t xml:space="preserve">Notification of payment is essential, and this should be made by email </w:t>
      </w:r>
      <w:r>
        <w:rPr>
          <w:rStyle w:val="A11"/>
          <w:rFonts w:cstheme="minorHAnsi"/>
          <w:color w:val="002060"/>
          <w:sz w:val="18"/>
          <w:szCs w:val="18"/>
        </w:rPr>
        <w:t>to accounts@wfpgroup.com</w:t>
      </w:r>
      <w:r w:rsidRPr="00CA29EA">
        <w:rPr>
          <w:rStyle w:val="A11"/>
          <w:rFonts w:cstheme="minorHAnsi"/>
          <w:color w:val="002060"/>
          <w:sz w:val="18"/>
          <w:szCs w:val="18"/>
        </w:rPr>
        <w:t>.</w:t>
      </w:r>
    </w:p>
    <w:p w14:paraId="156C2C1C" w14:textId="29C6CC2F" w:rsidR="00F4104F" w:rsidRPr="009D1A33" w:rsidRDefault="00F4104F" w:rsidP="007C777B">
      <w:pPr>
        <w:spacing w:after="0"/>
        <w:rPr>
          <w:color w:val="202850"/>
          <w:sz w:val="20"/>
          <w:szCs w:val="20"/>
        </w:rPr>
      </w:pPr>
    </w:p>
    <w:p w14:paraId="4A93E005" w14:textId="6E17692B" w:rsidR="00904E05" w:rsidRPr="009D1A33" w:rsidRDefault="00806BFC" w:rsidP="007C777B">
      <w:pPr>
        <w:spacing w:after="0"/>
        <w:rPr>
          <w:color w:val="202850"/>
          <w:sz w:val="20"/>
          <w:szCs w:val="20"/>
        </w:rPr>
      </w:pPr>
      <w:r w:rsidRPr="009D1A33">
        <w:rPr>
          <w:color w:val="202850"/>
          <w:sz w:val="20"/>
          <w:szCs w:val="20"/>
        </w:rPr>
        <w:t>Valid</w:t>
      </w:r>
      <w:r w:rsidR="00D2542B" w:rsidRPr="009D1A33">
        <w:rPr>
          <w:color w:val="202850"/>
          <w:sz w:val="20"/>
          <w:szCs w:val="20"/>
        </w:rPr>
        <w:t>:</w:t>
      </w:r>
      <w:r w:rsidR="00D2542B" w:rsidRPr="009D1A33">
        <w:rPr>
          <w:color w:val="202850"/>
          <w:sz w:val="20"/>
          <w:szCs w:val="20"/>
        </w:rPr>
        <w:tab/>
      </w:r>
      <w:r w:rsidR="001E5487" w:rsidRPr="009D1A33">
        <w:rPr>
          <w:color w:val="202850"/>
          <w:sz w:val="20"/>
          <w:szCs w:val="20"/>
        </w:rPr>
        <w:tab/>
      </w:r>
      <w:r w:rsidR="00D2542B" w:rsidRPr="009D1A33">
        <w:rPr>
          <w:color w:val="202850"/>
          <w:sz w:val="20"/>
          <w:szCs w:val="20"/>
        </w:rPr>
        <w:t>01/0</w:t>
      </w:r>
      <w:r w:rsidR="00C14C26">
        <w:rPr>
          <w:color w:val="202850"/>
          <w:sz w:val="20"/>
          <w:szCs w:val="20"/>
        </w:rPr>
        <w:t>1</w:t>
      </w:r>
      <w:r w:rsidR="00D2542B" w:rsidRPr="009D1A33">
        <w:rPr>
          <w:color w:val="202850"/>
          <w:sz w:val="20"/>
          <w:szCs w:val="20"/>
        </w:rPr>
        <w:t>/202</w:t>
      </w:r>
      <w:r w:rsidR="00C14C26">
        <w:rPr>
          <w:color w:val="202850"/>
          <w:sz w:val="20"/>
          <w:szCs w:val="20"/>
        </w:rPr>
        <w:t>1</w:t>
      </w:r>
      <w:r w:rsidRPr="009D1A33">
        <w:rPr>
          <w:color w:val="202850"/>
          <w:sz w:val="20"/>
          <w:szCs w:val="20"/>
        </w:rPr>
        <w:t xml:space="preserve"> – 31/</w:t>
      </w:r>
      <w:r w:rsidR="00C14C26">
        <w:rPr>
          <w:color w:val="202850"/>
          <w:sz w:val="20"/>
          <w:szCs w:val="20"/>
        </w:rPr>
        <w:t>12</w:t>
      </w:r>
      <w:r w:rsidRPr="009D1A33">
        <w:rPr>
          <w:color w:val="202850"/>
          <w:sz w:val="20"/>
          <w:szCs w:val="20"/>
        </w:rPr>
        <w:t>/2021</w:t>
      </w:r>
    </w:p>
    <w:p w14:paraId="2471CA3E" w14:textId="2E3A3A0C" w:rsidR="008A652F" w:rsidRPr="009D1A33" w:rsidRDefault="00806BFC" w:rsidP="002F6DBD">
      <w:pPr>
        <w:spacing w:after="0"/>
        <w:rPr>
          <w:color w:val="FF0000"/>
          <w:sz w:val="20"/>
          <w:szCs w:val="20"/>
        </w:rPr>
      </w:pPr>
      <w:r w:rsidRPr="009D1A33">
        <w:rPr>
          <w:color w:val="202850"/>
          <w:sz w:val="20"/>
          <w:szCs w:val="20"/>
        </w:rPr>
        <w:t>Approved b</w:t>
      </w:r>
      <w:r w:rsidR="00D2542B" w:rsidRPr="009D1A33">
        <w:rPr>
          <w:color w:val="202850"/>
          <w:sz w:val="20"/>
          <w:szCs w:val="20"/>
        </w:rPr>
        <w:t>y:</w:t>
      </w:r>
      <w:r w:rsidR="00D2542B" w:rsidRPr="009D1A33">
        <w:rPr>
          <w:color w:val="202850"/>
          <w:sz w:val="20"/>
          <w:szCs w:val="20"/>
        </w:rPr>
        <w:tab/>
        <w:t>Mark Hicks</w:t>
      </w:r>
    </w:p>
    <w:sectPr w:rsidR="008A652F" w:rsidRPr="009D1A33" w:rsidSect="005453C9">
      <w:headerReference w:type="default" r:id="rId8"/>
      <w:footerReference w:type="default" r:id="rId9"/>
      <w:pgSz w:w="11906" w:h="16838"/>
      <w:pgMar w:top="567" w:right="907" w:bottom="567" w:left="90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E17F6" w14:textId="77777777" w:rsidR="00201720" w:rsidRDefault="00201720" w:rsidP="00642765">
      <w:pPr>
        <w:spacing w:after="0" w:line="240" w:lineRule="auto"/>
      </w:pPr>
      <w:r>
        <w:separator/>
      </w:r>
    </w:p>
  </w:endnote>
  <w:endnote w:type="continuationSeparator" w:id="0">
    <w:p w14:paraId="7170EDB3" w14:textId="77777777" w:rsidR="00201720" w:rsidRDefault="00201720" w:rsidP="0064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IT Cby B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CA48" w14:textId="77777777" w:rsidR="00642765" w:rsidRPr="00C95CA0" w:rsidRDefault="00642765" w:rsidP="00C95CA0">
    <w:pPr>
      <w:pStyle w:val="Footer"/>
      <w:jc w:val="right"/>
      <w:rPr>
        <w:color w:val="404040" w:themeColor="text1" w:themeTint="BF"/>
        <w:sz w:val="24"/>
        <w:szCs w:val="24"/>
      </w:rPr>
    </w:pPr>
  </w:p>
  <w:p w14:paraId="2471CA49" w14:textId="77777777" w:rsidR="00642765" w:rsidRPr="00981368" w:rsidRDefault="00642765">
    <w:pPr>
      <w:pStyle w:val="Footer"/>
      <w:rPr>
        <w:color w:val="404040" w:themeColor="text1" w:themeTint="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17EA3" w14:textId="77777777" w:rsidR="00201720" w:rsidRDefault="00201720" w:rsidP="00642765">
      <w:pPr>
        <w:spacing w:after="0" w:line="240" w:lineRule="auto"/>
      </w:pPr>
      <w:r>
        <w:separator/>
      </w:r>
    </w:p>
  </w:footnote>
  <w:footnote w:type="continuationSeparator" w:id="0">
    <w:p w14:paraId="166965C2" w14:textId="77777777" w:rsidR="00201720" w:rsidRDefault="00201720" w:rsidP="0064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CA47" w14:textId="77777777" w:rsidR="00642765" w:rsidRPr="005233E7" w:rsidRDefault="00F97705">
    <w:pPr>
      <w:pStyle w:val="Header"/>
      <w:rPr>
        <w:color w:val="202850"/>
        <w:sz w:val="24"/>
        <w:szCs w:val="24"/>
      </w:rPr>
    </w:pPr>
    <w:r w:rsidRPr="005233E7">
      <w:rPr>
        <w:color w:val="202850"/>
        <w:sz w:val="24"/>
        <w:szCs w:val="24"/>
      </w:rPr>
      <w:t>FS-</w:t>
    </w:r>
    <w:r w:rsidR="00F91AFC" w:rsidRPr="005233E7">
      <w:rPr>
        <w:color w:val="202850"/>
        <w:sz w:val="24"/>
        <w:szCs w:val="24"/>
      </w:rPr>
      <w:t>B4</w:t>
    </w:r>
    <w:r w:rsidR="007E7918" w:rsidRPr="005233E7">
      <w:rPr>
        <w:color w:val="202850"/>
        <w:sz w:val="24"/>
        <w:szCs w:val="24"/>
      </w:rPr>
      <w:t>5</w:t>
    </w:r>
    <w:r w:rsidR="00F91AFC" w:rsidRPr="005233E7">
      <w:rPr>
        <w:color w:val="202850"/>
        <w:sz w:val="24"/>
        <w:szCs w:val="24"/>
      </w:rPr>
      <w:t>00</w:t>
    </w:r>
    <w:r w:rsidR="00642765" w:rsidRPr="005233E7">
      <w:rPr>
        <w:color w:val="202850"/>
        <w:sz w:val="24"/>
        <w:szCs w:val="24"/>
      </w:rPr>
      <w:t xml:space="preserve"> </w:t>
    </w:r>
    <w:r w:rsidR="00642765" w:rsidRPr="005233E7">
      <w:rPr>
        <w:b/>
        <w:color w:val="00A8D6"/>
        <w:sz w:val="24"/>
        <w:szCs w:val="24"/>
      </w:rPr>
      <w:t>|</w:t>
    </w:r>
    <w:r w:rsidR="00642765" w:rsidRPr="005233E7">
      <w:rPr>
        <w:color w:val="00A8D6"/>
        <w:sz w:val="24"/>
        <w:szCs w:val="24"/>
      </w:rPr>
      <w:t xml:space="preserve"> </w:t>
    </w:r>
    <w:r w:rsidRPr="005233E7">
      <w:rPr>
        <w:color w:val="202850"/>
        <w:sz w:val="24"/>
        <w:szCs w:val="24"/>
      </w:rPr>
      <w:t>Product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30F27"/>
    <w:multiLevelType w:val="hybridMultilevel"/>
    <w:tmpl w:val="EB10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97BE2"/>
    <w:multiLevelType w:val="hybridMultilevel"/>
    <w:tmpl w:val="C1C66D44"/>
    <w:lvl w:ilvl="0" w:tplc="165C3C2C">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AFC"/>
    <w:rsid w:val="00011ACB"/>
    <w:rsid w:val="00015A4B"/>
    <w:rsid w:val="00027724"/>
    <w:rsid w:val="00030DCC"/>
    <w:rsid w:val="00042835"/>
    <w:rsid w:val="000616DA"/>
    <w:rsid w:val="00084772"/>
    <w:rsid w:val="000C430E"/>
    <w:rsid w:val="000F163A"/>
    <w:rsid w:val="000F546F"/>
    <w:rsid w:val="0012436F"/>
    <w:rsid w:val="00142069"/>
    <w:rsid w:val="0016061F"/>
    <w:rsid w:val="00180CB9"/>
    <w:rsid w:val="00194BD3"/>
    <w:rsid w:val="001D091B"/>
    <w:rsid w:val="001D1D00"/>
    <w:rsid w:val="001E41A4"/>
    <w:rsid w:val="001E5487"/>
    <w:rsid w:val="00201720"/>
    <w:rsid w:val="0022105A"/>
    <w:rsid w:val="00276FB3"/>
    <w:rsid w:val="00296D9A"/>
    <w:rsid w:val="0029748C"/>
    <w:rsid w:val="002A1795"/>
    <w:rsid w:val="002A5F6E"/>
    <w:rsid w:val="002B24E0"/>
    <w:rsid w:val="002B3736"/>
    <w:rsid w:val="002B3F2D"/>
    <w:rsid w:val="002E7188"/>
    <w:rsid w:val="002E7CA2"/>
    <w:rsid w:val="002F6DBD"/>
    <w:rsid w:val="00304544"/>
    <w:rsid w:val="0032413B"/>
    <w:rsid w:val="00341A65"/>
    <w:rsid w:val="0036183F"/>
    <w:rsid w:val="00377A71"/>
    <w:rsid w:val="003C3D73"/>
    <w:rsid w:val="003F016B"/>
    <w:rsid w:val="003F0608"/>
    <w:rsid w:val="003F2334"/>
    <w:rsid w:val="00413C7A"/>
    <w:rsid w:val="0044521E"/>
    <w:rsid w:val="00450CDD"/>
    <w:rsid w:val="0045595B"/>
    <w:rsid w:val="004A786F"/>
    <w:rsid w:val="004C1E6B"/>
    <w:rsid w:val="00517901"/>
    <w:rsid w:val="00517FFD"/>
    <w:rsid w:val="005233E7"/>
    <w:rsid w:val="0052511A"/>
    <w:rsid w:val="005453C9"/>
    <w:rsid w:val="005611CA"/>
    <w:rsid w:val="0056609D"/>
    <w:rsid w:val="005854CD"/>
    <w:rsid w:val="00591D53"/>
    <w:rsid w:val="00593E3F"/>
    <w:rsid w:val="005A42CE"/>
    <w:rsid w:val="005B28D4"/>
    <w:rsid w:val="005C18FF"/>
    <w:rsid w:val="005C581A"/>
    <w:rsid w:val="005C6146"/>
    <w:rsid w:val="005D6678"/>
    <w:rsid w:val="005E193D"/>
    <w:rsid w:val="005F316E"/>
    <w:rsid w:val="005F5BE7"/>
    <w:rsid w:val="00604660"/>
    <w:rsid w:val="00615E93"/>
    <w:rsid w:val="00642765"/>
    <w:rsid w:val="006610BE"/>
    <w:rsid w:val="00670D15"/>
    <w:rsid w:val="0068292C"/>
    <w:rsid w:val="00687A88"/>
    <w:rsid w:val="006A2DE6"/>
    <w:rsid w:val="006B4D9A"/>
    <w:rsid w:val="00703B34"/>
    <w:rsid w:val="00705231"/>
    <w:rsid w:val="0071113C"/>
    <w:rsid w:val="0074772A"/>
    <w:rsid w:val="007646B9"/>
    <w:rsid w:val="007736C6"/>
    <w:rsid w:val="00773F72"/>
    <w:rsid w:val="007B2DEE"/>
    <w:rsid w:val="007C777B"/>
    <w:rsid w:val="007E03E5"/>
    <w:rsid w:val="007E668E"/>
    <w:rsid w:val="007E7918"/>
    <w:rsid w:val="00806BFC"/>
    <w:rsid w:val="00810BD3"/>
    <w:rsid w:val="0081551D"/>
    <w:rsid w:val="008169C9"/>
    <w:rsid w:val="00857856"/>
    <w:rsid w:val="00873222"/>
    <w:rsid w:val="00874BA1"/>
    <w:rsid w:val="00884AC2"/>
    <w:rsid w:val="00885469"/>
    <w:rsid w:val="00896903"/>
    <w:rsid w:val="008A652F"/>
    <w:rsid w:val="008B3A81"/>
    <w:rsid w:val="008C569A"/>
    <w:rsid w:val="008E2DE6"/>
    <w:rsid w:val="008E44D2"/>
    <w:rsid w:val="008F19A0"/>
    <w:rsid w:val="008F3F7D"/>
    <w:rsid w:val="00904E05"/>
    <w:rsid w:val="00910B62"/>
    <w:rsid w:val="00946003"/>
    <w:rsid w:val="00952750"/>
    <w:rsid w:val="009528C0"/>
    <w:rsid w:val="00981368"/>
    <w:rsid w:val="00985865"/>
    <w:rsid w:val="00994ECE"/>
    <w:rsid w:val="009B1DF0"/>
    <w:rsid w:val="009D1294"/>
    <w:rsid w:val="009D1A33"/>
    <w:rsid w:val="009D2DA5"/>
    <w:rsid w:val="009F029A"/>
    <w:rsid w:val="00A256BA"/>
    <w:rsid w:val="00A26046"/>
    <w:rsid w:val="00A302AA"/>
    <w:rsid w:val="00A459B4"/>
    <w:rsid w:val="00A82089"/>
    <w:rsid w:val="00A8295A"/>
    <w:rsid w:val="00A86842"/>
    <w:rsid w:val="00A91B17"/>
    <w:rsid w:val="00AC6450"/>
    <w:rsid w:val="00AD6B51"/>
    <w:rsid w:val="00AF4716"/>
    <w:rsid w:val="00B0546B"/>
    <w:rsid w:val="00B10816"/>
    <w:rsid w:val="00B12332"/>
    <w:rsid w:val="00B364D3"/>
    <w:rsid w:val="00B56156"/>
    <w:rsid w:val="00B57EF6"/>
    <w:rsid w:val="00B71A2E"/>
    <w:rsid w:val="00B82981"/>
    <w:rsid w:val="00B867A9"/>
    <w:rsid w:val="00BC6662"/>
    <w:rsid w:val="00C14C26"/>
    <w:rsid w:val="00C67274"/>
    <w:rsid w:val="00C746D1"/>
    <w:rsid w:val="00C76B4C"/>
    <w:rsid w:val="00C95CA0"/>
    <w:rsid w:val="00CA1CE1"/>
    <w:rsid w:val="00CB0FBC"/>
    <w:rsid w:val="00CB2348"/>
    <w:rsid w:val="00CB35A7"/>
    <w:rsid w:val="00CC3CAC"/>
    <w:rsid w:val="00CE6ADD"/>
    <w:rsid w:val="00D17B30"/>
    <w:rsid w:val="00D2386D"/>
    <w:rsid w:val="00D2542B"/>
    <w:rsid w:val="00D52FCC"/>
    <w:rsid w:val="00D57E93"/>
    <w:rsid w:val="00D72EC6"/>
    <w:rsid w:val="00D84226"/>
    <w:rsid w:val="00DA2C71"/>
    <w:rsid w:val="00DA699A"/>
    <w:rsid w:val="00DF3ECE"/>
    <w:rsid w:val="00DF76DD"/>
    <w:rsid w:val="00E01AD3"/>
    <w:rsid w:val="00E24A39"/>
    <w:rsid w:val="00E706A2"/>
    <w:rsid w:val="00E75092"/>
    <w:rsid w:val="00E77E73"/>
    <w:rsid w:val="00E92B2A"/>
    <w:rsid w:val="00EA13BD"/>
    <w:rsid w:val="00EE72EE"/>
    <w:rsid w:val="00EF44CE"/>
    <w:rsid w:val="00F11996"/>
    <w:rsid w:val="00F14C2F"/>
    <w:rsid w:val="00F22444"/>
    <w:rsid w:val="00F25A6C"/>
    <w:rsid w:val="00F4104F"/>
    <w:rsid w:val="00F55086"/>
    <w:rsid w:val="00F6256D"/>
    <w:rsid w:val="00F7072B"/>
    <w:rsid w:val="00F732AA"/>
    <w:rsid w:val="00F91AFC"/>
    <w:rsid w:val="00F97705"/>
    <w:rsid w:val="00FA4BEE"/>
    <w:rsid w:val="00FB12CD"/>
    <w:rsid w:val="00FD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1CA18"/>
  <w15:docId w15:val="{68063421-D008-4C9C-9F39-21990CDA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65"/>
    <w:rPr>
      <w:rFonts w:ascii="Tahoma" w:hAnsi="Tahoma" w:cs="Tahoma"/>
      <w:sz w:val="16"/>
      <w:szCs w:val="16"/>
    </w:rPr>
  </w:style>
  <w:style w:type="paragraph" w:styleId="Header">
    <w:name w:val="header"/>
    <w:basedOn w:val="Normal"/>
    <w:link w:val="HeaderChar"/>
    <w:uiPriority w:val="99"/>
    <w:unhideWhenUsed/>
    <w:rsid w:val="0064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765"/>
  </w:style>
  <w:style w:type="paragraph" w:styleId="Footer">
    <w:name w:val="footer"/>
    <w:basedOn w:val="Normal"/>
    <w:link w:val="FooterChar"/>
    <w:uiPriority w:val="99"/>
    <w:unhideWhenUsed/>
    <w:rsid w:val="0064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765"/>
  </w:style>
  <w:style w:type="paragraph" w:styleId="ListParagraph">
    <w:name w:val="List Paragraph"/>
    <w:basedOn w:val="Normal"/>
    <w:uiPriority w:val="34"/>
    <w:qFormat/>
    <w:rsid w:val="00B364D3"/>
    <w:pPr>
      <w:ind w:left="720"/>
      <w:contextualSpacing/>
    </w:pPr>
  </w:style>
  <w:style w:type="character" w:styleId="Hyperlink">
    <w:name w:val="Hyperlink"/>
    <w:basedOn w:val="DefaultParagraphFont"/>
    <w:uiPriority w:val="99"/>
    <w:unhideWhenUsed/>
    <w:rsid w:val="00A26046"/>
    <w:rPr>
      <w:color w:val="0000FF" w:themeColor="hyperlink"/>
      <w:u w:val="single"/>
    </w:rPr>
  </w:style>
  <w:style w:type="character" w:styleId="UnresolvedMention">
    <w:name w:val="Unresolved Mention"/>
    <w:basedOn w:val="DefaultParagraphFont"/>
    <w:uiPriority w:val="99"/>
    <w:semiHidden/>
    <w:unhideWhenUsed/>
    <w:rsid w:val="00A26046"/>
    <w:rPr>
      <w:color w:val="605E5C"/>
      <w:shd w:val="clear" w:color="auto" w:fill="E1DFDD"/>
    </w:rPr>
  </w:style>
  <w:style w:type="paragraph" w:customStyle="1" w:styleId="Pa11">
    <w:name w:val="Pa1+1"/>
    <w:basedOn w:val="Normal"/>
    <w:next w:val="Normal"/>
    <w:uiPriority w:val="99"/>
    <w:rsid w:val="00994ECE"/>
    <w:pPr>
      <w:autoSpaceDE w:val="0"/>
      <w:autoSpaceDN w:val="0"/>
      <w:adjustRightInd w:val="0"/>
      <w:spacing w:after="0" w:line="241" w:lineRule="atLeast"/>
    </w:pPr>
    <w:rPr>
      <w:rFonts w:ascii="Avant Garde IT Cby BT" w:hAnsi="Avant Garde IT Cby BT"/>
      <w:sz w:val="24"/>
      <w:szCs w:val="24"/>
    </w:rPr>
  </w:style>
  <w:style w:type="character" w:customStyle="1" w:styleId="A11">
    <w:name w:val="A1+1"/>
    <w:uiPriority w:val="99"/>
    <w:rsid w:val="00994ECE"/>
    <w:rPr>
      <w:rFonts w:cs="Avant Garde IT Cby BT"/>
      <w:color w:val="000000"/>
    </w:rPr>
  </w:style>
  <w:style w:type="paragraph" w:customStyle="1" w:styleId="Pa21">
    <w:name w:val="Pa2+1"/>
    <w:basedOn w:val="Normal"/>
    <w:next w:val="Normal"/>
    <w:uiPriority w:val="99"/>
    <w:rsid w:val="00994ECE"/>
    <w:pPr>
      <w:autoSpaceDE w:val="0"/>
      <w:autoSpaceDN w:val="0"/>
      <w:adjustRightInd w:val="0"/>
      <w:spacing w:after="0" w:line="241" w:lineRule="atLeast"/>
    </w:pPr>
    <w:rPr>
      <w:rFonts w:ascii="Avant Garde IT Cby BT" w:hAnsi="Avant Garde IT Cby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7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Hicks - PC</dc:creator>
  <cp:lastModifiedBy>Mark Hicks</cp:lastModifiedBy>
  <cp:revision>111</cp:revision>
  <cp:lastPrinted>2015-03-05T15:34:00Z</cp:lastPrinted>
  <dcterms:created xsi:type="dcterms:W3CDTF">2018-02-02T16:37:00Z</dcterms:created>
  <dcterms:modified xsi:type="dcterms:W3CDTF">2020-11-23T15:24:00Z</dcterms:modified>
</cp:coreProperties>
</file>